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436</w:t>
      </w:r>
    </w:p>
    <w:p>
      <w:r>
        <w:t>Bundesgericht (BGE), 1998-08-19, DE</w:t>
      </w:r>
    </w:p>
    <w:p>
      <w:r>
        <w:rPr>
          <w:b/>
        </w:rPr>
        <w:t xml:space="preserve">Quelle: </w:t>
      </w:r>
      <w:r>
        <w:t>https://mcp.opencaselaw.ch/entscheid/bge_124 III 436</w:t>
      </w:r>
    </w:p>
    <w:p>
      <w:r>
        <w:t>FR: ATF 124 III 436</w:t>
      </w:r>
    </w:p>
    <w:p>
      <w:r>
        <w:t>IT: DTF 124 III 436</w:t>
      </w:r>
    </w:p>
    <w:p>
      <w:pPr>
        <w:pStyle w:val="Heading2"/>
      </w:pPr>
      <w:r>
        <w:t>Regeste</w:t>
      </w:r>
    </w:p>
    <w:p>
      <w:r>
        <w:t>Regeste Art. 1 Abs. 1 LugÜ, Art. 12 Ziff. 1 LugÜ, Art. 17 Abs. 3 LugÜ und Art. 54 Abs. 1 LugÜ; Begriff der "Zivil- und Handelssache"; Anwendbarkeit des LugÜ in Bezug auf eine vor dessen Inkrafttreten abgeschlossene Gerichtsstandsvereinbarung. Werden in einer Rechtsbeziehung, an der ein Hoheitsträger beteiligt ist, keine hoheitlichen Befugnisse wahrgenommen, liegt eine "Zivil- und Handelssache" im Sinn von Art. 1 Abs. 1 LugÜ vor (E. 3). Die Gültigkeit einer Gerichtsstandsvereinbarung, die vor dem Inkrafttreten des Lugano Übereinkommens abgeschlossen wurde, beurteilt sich gemäss Art. 54 Abs. 1 LugÜ nach den Bestimmungen dieses Übereinkommens, wenn die Klage nach dessen Inkrafttreten erhoben worden ist (E. 4).</w:t>
      </w:r>
    </w:p>
    <w:p>
      <w:pPr>
        <w:pStyle w:val="Heading2"/>
      </w:pPr>
      <w:r>
        <w:t>Erwägungen</w:t>
      </w:r>
    </w:p>
    <w:p>
      <w:r>
        <w:rPr>
          <w:b/>
        </w:rPr>
        <w:t>E. 2</w:t>
      </w:r>
    </w:p>
    <w:p>
      <w:r>
        <w:t>a) Das Handelsgericht ist in seinem Beschluss vom 2. März 1998 zunächst der Auffassung der Klägerin gefolgt, dass im vorliegenden Fall eine "Zivil- und Handelssache" im Sinn von Art. 1 Abs. 1 des Übereinkommens über die gerichtliche Zuständigkeit und die Vollstreckung gerichtlicher Entscheidungen in Zivil- und Handelssachen (LugÜ, SR 0.275.11) vorliege, so dass die Frage der örtlichen Zuständigkeit nach den Bestimmungen des LugÜ zu beurteilen sei. In einem zweiten Schritt ist das Handelsgericht dann aber der Meinung der Beklagten gefolgt, dass eine internationale Entscheidzuständigkeit der schweizerischen Gerichte nicht gegeben sei, weil die Parteien in Art. 19 der Versicherungspolice die Zuständigkeit der Gerichte in Rom vereinbart hätten. Zwar werde in Art. 12 Ziff. 1 in Verbindung mit Art. 17 Abs. 3 LugÜ bestimmt, dass im Bereich von Versicherungssachen eine Gerichtsstandsklausel dann keine rechtliche Wirkung entfalte, wenn die Vereinbarung vor der Entstehung einer Streitigkeit getroffen werde. Da der Versicherungsvertrag und die darin enthaltene Gerichtsstandsvereinbarung vor dem Inkrafttreten des LugÜ abgeschlossen worden seien, rechtfertige es sich in intertemporalrechtlicher Hinsicht aber nicht, diese Bestimmungen BGE 124 III 436 S. 439 auf den vorliegenden Fall anzuwenden; das Interesse der Beklagten am Schutz ihres Vertrauens in den Bestand der - seinerzeit gültig abgeschlossenen - Gerichtsstandsvereinbarung überwiege das Interesse der Klägerin an der Anwendbarkeit von Art. 12 Ziff. 1 in Verbindung mit Art. 17 Abs. 3 LugÜ . b) Die Beklagte vertritt die Auffassung, dass im vorliegenden Fall keine "Zivil- und Handelssache" im Sinn von Art. 1 Abs. 1 LugÜ vorliege, so dass die Frage, ob die in Ziff. 19 der Versicherungspolice abgeschlossene Gerichtsstandsvereinbarung verbindlich sei, nicht aufgrund der Bestimmungen des Übereinkommens zu beurteilen sei (vgl. nachfolgend E. 3). Demgegenüber teilt die Klägerin die Meinung des Handelsgerichtes zur Anwendbarkeit des LugÜ, wirft ihm aber vor, seine internationale Entscheidzuständigkeit zu Unrecht verneint zu haben; im Bereich von Versicherungssachen seien Gerichtsstandsvereinbarungen, die vor der Entstehung einer Streitigkeit getroffen wurden, gemäss Art. 12 Abs. 1 Ziff. 1 in Verbindung mit Art. 17 Abs. 3 LugÜ rechtlich ohne Wirkung. Diese Bestimmungen seien auch auf Gerichtsstandsklauseln anwendbar, die vor dem Inkrafttreten des LugÜ vereinbart worden seien, weil gemäss Art. 54 Abs. 1 LugÜ allein die Rechtslage im Zeitpunkt der Klageerhebung massgebend sei. Ungeachtet dessen, dass die Parteien seinerzeit den Gerichtsstand Rom vereinbart hätten, sei sie somit berechtigt, die Klage gestützt auf Art. 8 Abs. 1 Ziff. 2 LugÜ an ihrem Sitz in Zürich zu erheben (vgl. nachfolgend E. 4). c) Bei der Auslegung des LugÜ ist zu beachten, dass es sich nicht um nationales Recht, sondern wie beim Europäischen Gerichtsstands- und Vollstreckungsübereinkommen (EuGVÜ) um internationales Einheitsrecht handelt. Die Auslegung einer Bestimmung erfolgt deshalb vertragsautonom und nicht anhand eines der berührten staatlichen Rechte. Aufgrund der Parallelität zwischen dem LugÜ und dem EuGVÜ drängt sich eine einheitliche Auslegung der beiden Abkommen auf. Aus dem Protokoll Nr. 2 über die einheitliche Auslegung des Übereinkommens ergibt sich, dass die vor dem Abschluss des LugÜ ergangenen Entscheide des Europäischen Gerichtshofes (EuGH) zum EuGVÜ als verbindliche Entscheidungsgrundlage zu berücksichtigen sind (SR 0.275.11, Protokoll Nr. 2, Präambel). Die neueren Urteile des EuGH zum EuGVÜ sind insofern von Bedeutung, als es die Vertragsstaaten des LugÜ für angezeigt halten, dass ihre Gerichte bei der Auslegung des LugÜ den Grundsätzen gebührend Rechnung tragen, die sich aus der Rechtsprechung des EuGH zum EuGVÜ ergeben (SR 0.275.11, BGE 124 III 436 S. 440 Protokoll Nr. 2, Art. 1); nur so kann die gewünschte Parallelität zwischen beiden Übereinkommen gewährleistet werden ( BGE 124 III 188 E. 4b S. 191; 123 III 414 E. 4 S. 421, je mit Hinweisen).</w:t>
      </w:r>
    </w:p>
    <w:p>
      <w:r>
        <w:rPr>
          <w:b/>
        </w:rPr>
        <w:t>E. 3</w:t>
      </w:r>
    </w:p>
    <w:p>
      <w:r>
        <w:t>Im Folgenden ist zunächst zu prüfen, ob das Handelsgericht zutreffend von einer "Zivil- und Handelssache" im Sinn von Art. 1 Abs. 1 LugÜ ausgegangen ist und damit die Frage der Wirksamkeit der umstrittenen Gerichtsstandsklausel zu Recht aufgrund der Bestimmungen des LugÜ geprüft hat. a) Nach der Rechtsprechung des EuGH ist der Begriff der "Zivil- und Handelssache" im Sinn von Art. 1 Abs. 1 EuGVÜ - und damit auch die gleichlautende Bestimmung des LugÜ - weit auszulegen: So ist eine Klage nur dann vom Anwendungsbereich des Übereinkommens ausgeschlossen, wenn eine Rechtsbeziehung zu einem Hoheitsträger zu beurteilen ist, welcher in Ausübung hoheitlicher Befugnisse gehandelt hat; demgegenüber ist selbst dann von einer Zivil- und Handelssache auszugehen, wenn Befugnisse zwar von einem Hoheitsträger wahrgenommen werden, diese aber nicht von den im Verhältnis zwischen Privatpersonen geltenden Regeln abweichen (Rs. C-172/91, Urteil vom 21. April 1993, Slg. 1993, S. 1963 ff., S. 1996 f., Rz. 20 und insbes. 22). Damit erweist sich aber bereits der erste Einwand der Beklagten als unbegründet, das LugÜ sei schon deshalb nicht anwendbar, weil sie keine Privatperson, sondern eine juristische Person des öffentlichen Rechtes mit sozialpolitischen Zielen sei; entscheidend ist nicht, ob ein Hoheitsträger am Rechtsverhältnis beteiligt ist, sondern ob es sich um ein Rechtsverhältnis handelt, das auch zwischen Privatpersonen bestehen könnte. b) Damit bleibt noch die Frage zu prüfen, ob die Beklagte in Ausübung hoheitlicher Befugnisse gehandelt hat. Die Beklagte stellt sich auf den Standpunkt, dass dem Abschluss der Exportrisikoversicherung zwingend eine Garantieverfügung des "Comitato di gestione" vorausgehe, so dass das Rechtsverhältnis zwischen den Parteien aufgrund der hoheitlichen Natur dieses Aktes als öffentlichrechtlich zu qualifizieren sei. Dieser Auffassung kann nicht gefolgt werden. Grundlage des geltend gemachten Anspruchs ist der zwischen den Parteien abgeschlossene Vertrag sowie die später am 22. Februar 1989 von den Parteien unterzeichnete Police. Insbesondere bestehen keine Anhaltspunkte dafür, dass die vorausgegangene Verfügung bereits ein Rechtsverhältnis zwischen den Parteien begründet hätte; es ist ihr auch nicht zu entnehmen, dass sie der Klägerin eröffnet worden wäre. Wenn aber auf das Rechtsverhältnis BGE 124 III 436 S. 441 abgestellt wird, wie es aus der Police hervorgeht, ist nicht ersichtlich, inwiefern die Klägerin der Beklagten untergeordnet sein soll. Damit weicht aber die Rechtsbeziehung zwischen den Parteien nicht von den im Verhältnis zwischen Privatpersonen geltenden Regeln ab und ist infolgedessen nicht als hoheitlich einzustufen; unter diesen Umständen ist irrelevant, dass ein anderer Versicherer eine solche Versicherung mit Blick auf die Risiken möglicherweise nicht oder zu anderen Konditionen offerieren würde bzw. dass die Beklagte ihre Rechtsbeziehung aufgrund eines öffentlichrechtlichen Gesetzes eingegangen ist.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